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E7EE54" w14:textId="77777777" w:rsidR="005C6820" w:rsidRPr="005C6820" w:rsidRDefault="005C6820" w:rsidP="00E52B2D">
      <w:pPr>
        <w:spacing w:after="120" w:line="240" w:lineRule="auto"/>
        <w:jc w:val="right"/>
        <w:rPr>
          <w:rFonts w:ascii="Arial" w:eastAsia="Calibri" w:hAnsi="Arial" w:cs="Arial"/>
          <w:bCs/>
          <w:sz w:val="20"/>
          <w:szCs w:val="20"/>
        </w:rPr>
      </w:pPr>
      <w:bookmarkStart w:id="0" w:name="_Hlk81922360"/>
      <w:r w:rsidRPr="005C6820">
        <w:rPr>
          <w:rFonts w:ascii="Arial" w:eastAsia="Calibri" w:hAnsi="Arial" w:cs="Arial"/>
          <w:bCs/>
          <w:sz w:val="20"/>
          <w:szCs w:val="20"/>
        </w:rPr>
        <w:t>SPS priedas Nr. 9</w:t>
      </w:r>
    </w:p>
    <w:p w14:paraId="43AEC8FC" w14:textId="77777777" w:rsidR="005C6820" w:rsidRPr="005C6820" w:rsidRDefault="005C6820" w:rsidP="00E52B2D">
      <w:pPr>
        <w:spacing w:after="120" w:line="240" w:lineRule="auto"/>
        <w:jc w:val="both"/>
        <w:rPr>
          <w:rFonts w:ascii="Arial" w:eastAsia="Calibri" w:hAnsi="Arial" w:cs="Arial"/>
          <w:b/>
          <w:sz w:val="20"/>
          <w:szCs w:val="20"/>
        </w:rPr>
      </w:pPr>
    </w:p>
    <w:p w14:paraId="2361356E" w14:textId="77777777" w:rsidR="00D14EFF" w:rsidRDefault="005C6820" w:rsidP="00E52B2D">
      <w:pPr>
        <w:pStyle w:val="ListParagraph"/>
        <w:spacing w:after="120"/>
        <w:ind w:left="0" w:firstLine="0"/>
        <w:contextualSpacing w:val="0"/>
        <w:jc w:val="center"/>
        <w:rPr>
          <w:rFonts w:eastAsia="Calibri"/>
          <w:b/>
          <w:lang w:eastAsia="en-US"/>
        </w:rPr>
      </w:pPr>
      <w:r w:rsidRPr="005C6820">
        <w:rPr>
          <w:rFonts w:eastAsia="Calibri"/>
          <w:b/>
          <w:lang w:eastAsia="en-US"/>
        </w:rPr>
        <w:t>PAGRINDIMAS DĖL PIRKIMO OBJEKTO NESKAIDYMO</w:t>
      </w:r>
    </w:p>
    <w:p w14:paraId="634B742E" w14:textId="77777777" w:rsidR="005C6820" w:rsidRPr="005C6820" w:rsidRDefault="005C6820" w:rsidP="00E52B2D">
      <w:pPr>
        <w:pStyle w:val="ListParagraph"/>
        <w:spacing w:after="120"/>
        <w:ind w:left="0" w:firstLine="567"/>
        <w:contextualSpacing w:val="0"/>
        <w:jc w:val="both"/>
        <w:rPr>
          <w:rFonts w:eastAsia="Calibri"/>
          <w:bCs/>
        </w:rPr>
      </w:pPr>
    </w:p>
    <w:p w14:paraId="60B503E4" w14:textId="77777777" w:rsidR="00D14EFF" w:rsidRPr="005C6820" w:rsidRDefault="00D14EFF" w:rsidP="00E52B2D">
      <w:pPr>
        <w:pStyle w:val="ListParagraph"/>
        <w:spacing w:after="120"/>
        <w:ind w:left="0" w:firstLine="567"/>
        <w:contextualSpacing w:val="0"/>
        <w:jc w:val="both"/>
        <w:rPr>
          <w:bCs/>
        </w:rPr>
      </w:pPr>
      <w:r w:rsidRPr="005C6820">
        <w:rPr>
          <w:rFonts w:eastAsia="Calibri"/>
          <w:bCs/>
        </w:rPr>
        <w:t xml:space="preserve">UAB „Ignitis grupės paslaugų centras“ (toliau – Pirkėjas/GPC) yra viena didžiausių Lietuvoje informacinių technologijų (toliau – IT) bendrovių, teikianti IT ir telekomunikacijų paslaugas AB „Ignitis grupė“ įmonėms (toliau </w:t>
      </w:r>
      <w:r w:rsidRPr="005C6820">
        <w:rPr>
          <w:bCs/>
        </w:rPr>
        <w:t>– Grupė). GPC veiklą organizuoja pagal geriausias pasaulio vadybos praktikas, o visą su veikla susijusią informaciją valdo pagal aukščiausius standartus: įmonė yra gavusi ISO 9001,  ISO 27001 ir OHSAS 18001  sertifikatus.</w:t>
      </w:r>
    </w:p>
    <w:p w14:paraId="1B633359" w14:textId="77777777" w:rsidR="00D14EFF" w:rsidRPr="005C6820" w:rsidRDefault="00D14EFF" w:rsidP="00E52B2D">
      <w:pPr>
        <w:pStyle w:val="ListParagraph"/>
        <w:spacing w:after="120"/>
        <w:ind w:left="0" w:firstLine="567"/>
        <w:contextualSpacing w:val="0"/>
        <w:jc w:val="both"/>
        <w:rPr>
          <w:rFonts w:eastAsia="Calibri"/>
          <w:bCs/>
        </w:rPr>
      </w:pPr>
      <w:r w:rsidRPr="005C6820">
        <w:rPr>
          <w:rFonts w:eastAsia="Calibri"/>
          <w:bCs/>
        </w:rPr>
        <w:t>Šiuo metu GPC koncentruotai paslaugas teikia Grupės  įmonėms:</w:t>
      </w:r>
    </w:p>
    <w:p w14:paraId="47B597ED" w14:textId="77777777" w:rsidR="00D14EFF" w:rsidRPr="005C6820" w:rsidRDefault="00D14EFF" w:rsidP="00E52B2D">
      <w:pPr>
        <w:pStyle w:val="ListParagraph"/>
        <w:numPr>
          <w:ilvl w:val="0"/>
          <w:numId w:val="7"/>
        </w:numPr>
        <w:spacing w:after="120"/>
        <w:ind w:left="1135" w:hanging="284"/>
        <w:jc w:val="both"/>
        <w:rPr>
          <w:bCs/>
        </w:rPr>
      </w:pPr>
      <w:r w:rsidRPr="005C6820">
        <w:rPr>
          <w:rFonts w:eastAsia="Calibri"/>
          <w:bCs/>
        </w:rPr>
        <w:t>prižiūri virš 100 taikomųjų bei duomenų perdavimo sistemų;</w:t>
      </w:r>
    </w:p>
    <w:p w14:paraId="1C923A96" w14:textId="77777777" w:rsidR="00D14EFF" w:rsidRPr="005C6820" w:rsidRDefault="00D14EFF" w:rsidP="00E52B2D">
      <w:pPr>
        <w:pStyle w:val="ListParagraph"/>
        <w:numPr>
          <w:ilvl w:val="0"/>
          <w:numId w:val="7"/>
        </w:numPr>
        <w:spacing w:after="120"/>
        <w:ind w:left="1135" w:hanging="284"/>
        <w:jc w:val="both"/>
        <w:rPr>
          <w:bCs/>
        </w:rPr>
      </w:pPr>
      <w:r w:rsidRPr="005C6820">
        <w:rPr>
          <w:rFonts w:eastAsia="Calibri"/>
          <w:bCs/>
        </w:rPr>
        <w:t>atlieka 250 tarnybinių stočių ir apie 4000 kompiuterinių darbo vietų visoje Lietuvoje priežiūrą ir aptarnavimą;</w:t>
      </w:r>
    </w:p>
    <w:p w14:paraId="30DE5E04" w14:textId="77777777" w:rsidR="00D14EFF" w:rsidRPr="005C6820" w:rsidRDefault="00D14EFF" w:rsidP="00E52B2D">
      <w:pPr>
        <w:pStyle w:val="ListParagraph"/>
        <w:numPr>
          <w:ilvl w:val="0"/>
          <w:numId w:val="7"/>
        </w:numPr>
        <w:spacing w:after="120"/>
        <w:ind w:left="1135" w:hanging="284"/>
        <w:jc w:val="both"/>
        <w:rPr>
          <w:bCs/>
        </w:rPr>
      </w:pPr>
      <w:r w:rsidRPr="005C6820">
        <w:rPr>
          <w:rFonts w:eastAsia="Calibri"/>
          <w:bCs/>
        </w:rPr>
        <w:t>projektuoja, diegia ir aptarnauja integruotas IT sistemas;</w:t>
      </w:r>
    </w:p>
    <w:p w14:paraId="5DC98AE8" w14:textId="77777777" w:rsidR="00D14EFF" w:rsidRPr="005C6820" w:rsidRDefault="00D14EFF" w:rsidP="00E52B2D">
      <w:pPr>
        <w:pStyle w:val="ListParagraph"/>
        <w:numPr>
          <w:ilvl w:val="0"/>
          <w:numId w:val="7"/>
        </w:numPr>
        <w:spacing w:after="120"/>
        <w:ind w:left="1135" w:hanging="284"/>
        <w:contextualSpacing w:val="0"/>
        <w:jc w:val="both"/>
        <w:rPr>
          <w:bCs/>
        </w:rPr>
      </w:pPr>
      <w:r w:rsidRPr="005C6820">
        <w:rPr>
          <w:rFonts w:eastAsia="Calibri"/>
          <w:bCs/>
        </w:rPr>
        <w:t>inicijuoja ir įgyvendina strateginius kompetencijų, naujovių, žinių valdymo projektus.</w:t>
      </w:r>
    </w:p>
    <w:p w14:paraId="17E2BCC0" w14:textId="3F51DCE5" w:rsidR="00D14EFF" w:rsidRDefault="00D14EFF" w:rsidP="00E52B2D">
      <w:pPr>
        <w:pStyle w:val="ListParagraph"/>
        <w:spacing w:after="120"/>
        <w:ind w:left="0" w:firstLine="567"/>
        <w:contextualSpacing w:val="0"/>
        <w:jc w:val="both"/>
        <w:rPr>
          <w:rFonts w:eastAsia="Calibri"/>
          <w:bCs/>
        </w:rPr>
      </w:pPr>
      <w:r w:rsidRPr="005C6820">
        <w:rPr>
          <w:rFonts w:eastAsia="Calibri"/>
          <w:bCs/>
        </w:rPr>
        <w:t xml:space="preserve">GPC inicijuoja esamos Jira ir Confluence (toliau – Sistema) aptarnavimo paslaugų, kurias sudaro Sistemos tobulinimo, keitimo, Pirkėjo atstovų konsultavimo visais su Sistemos panaudojimu, vystymu ir veikimu susijusiais klausimais paslaugos (toliau – Paslaugos) tarptautinį viešąjį pirkimą (toliau – Pirkimas). </w:t>
      </w:r>
      <w:r w:rsidR="00CA3E88">
        <w:rPr>
          <w:rFonts w:eastAsia="Calibri"/>
          <w:bCs/>
        </w:rPr>
        <w:t xml:space="preserve">Pirkimo objektu siekiama </w:t>
      </w:r>
      <w:r w:rsidRPr="005C6820">
        <w:rPr>
          <w:rFonts w:eastAsia="Calibri"/>
          <w:bCs/>
        </w:rPr>
        <w:t>užtikrin</w:t>
      </w:r>
      <w:r w:rsidR="00CA3E88">
        <w:rPr>
          <w:rFonts w:eastAsia="Calibri"/>
          <w:bCs/>
        </w:rPr>
        <w:t>ti</w:t>
      </w:r>
      <w:r w:rsidRPr="005C6820">
        <w:rPr>
          <w:rFonts w:eastAsia="Calibri"/>
          <w:bCs/>
        </w:rPr>
        <w:t xml:space="preserve"> nenutrūkstamą ir savalaikį Sistemos, kuri būtina AB „Ignitis grupės“ įmonių paslaugų teikimui, vystymą.</w:t>
      </w:r>
    </w:p>
    <w:p w14:paraId="6D6C8FDE" w14:textId="44B429B0" w:rsidR="00E52B2D" w:rsidRPr="005C6820" w:rsidRDefault="00E52B2D" w:rsidP="00E52B2D">
      <w:pPr>
        <w:pStyle w:val="ListParagraph"/>
        <w:spacing w:after="120"/>
        <w:ind w:left="0" w:firstLine="567"/>
        <w:contextualSpacing w:val="0"/>
        <w:jc w:val="both"/>
        <w:rPr>
          <w:rFonts w:eastAsia="Calibri"/>
          <w:bCs/>
        </w:rPr>
      </w:pPr>
      <w:r>
        <w:t xml:space="preserve">Vadovaujantis VPĮ 28 str. 1 d., </w:t>
      </w:r>
      <w:r w:rsidRPr="09A39E47">
        <w:rPr>
          <w:rFonts w:eastAsia="Calibri"/>
        </w:rPr>
        <w:t xml:space="preserve">tarptautinis pirkimas privalo būti skaidomas, išskyrus jei perkančioji organizacija, vadovaujantis VPĮ 28 str. 2 d., </w:t>
      </w:r>
      <w:r>
        <w:rPr>
          <w:rFonts w:eastAsia="Calibri"/>
        </w:rPr>
        <w:t>priimą sprendimą neskaidyti pirkimo objekto, aiškiai nurodant tokį sprendimą pagrindžiančius argumentus. Išimtis neskaidyti pirkimo pagal nuosekliai formuojamą teismų praktiką gali būti taikoma, jeigu</w:t>
      </w:r>
      <w:r w:rsidRPr="09A39E47">
        <w:rPr>
          <w:rFonts w:eastAsia="Calibri"/>
        </w:rPr>
        <w:t xml:space="preserve"> dėl skaidymo sumažėtų tiekėjų konkurencija, pirkimo sutarties vykdymas taptų per daug brangus ar sudėtingas techniniu požiūriu, </w:t>
      </w:r>
      <w:r>
        <w:t>skirtingų pirkimo objekto dalių įgyvendinimas būtų glaudžiai susijęs ir dėl to</w:t>
      </w:r>
      <w:r w:rsidRPr="09A39E47">
        <w:rPr>
          <w:b/>
          <w:bCs/>
        </w:rPr>
        <w:t xml:space="preserve"> </w:t>
      </w:r>
      <w:r>
        <w:t>perkančiajai organizacijai</w:t>
      </w:r>
      <w:r w:rsidRPr="09A39E47">
        <w:rPr>
          <w:b/>
          <w:bCs/>
        </w:rPr>
        <w:t xml:space="preserve"> </w:t>
      </w:r>
      <w:r w:rsidRPr="09A39E47">
        <w:rPr>
          <w:rFonts w:eastAsia="Calibri"/>
        </w:rPr>
        <w:t xml:space="preserve">atsirastų būtinybė koordinuoti šių dalių tiekėjus ir tai keltų riziką netinkamai įvykdyti pirkimo sutartį, </w:t>
      </w:r>
      <w:r>
        <w:rPr>
          <w:rFonts w:eastAsia="Calibri"/>
        </w:rPr>
        <w:t xml:space="preserve">ar </w:t>
      </w:r>
      <w:r>
        <w:t>būtų nustatytos kitos pagrįstos aplinkybės, dėl kurių netikslinga pirkimo objektą skaidyti į dalis.</w:t>
      </w:r>
    </w:p>
    <w:p w14:paraId="4383C8AF" w14:textId="1D23D728" w:rsidR="009D6DC0" w:rsidRDefault="009D6DC0" w:rsidP="00E52B2D">
      <w:pPr>
        <w:pStyle w:val="ListParagraph"/>
        <w:spacing w:after="120"/>
        <w:ind w:left="0" w:firstLine="567"/>
        <w:contextualSpacing w:val="0"/>
        <w:jc w:val="both"/>
        <w:rPr>
          <w:u w:val="single"/>
        </w:rPr>
      </w:pPr>
      <w:r w:rsidRPr="00F76BD9">
        <w:t>Atsižvelgiant į tai, GPC, įvertinusi ir žinodama konkurencijos ribojimo galimas neigiamas pasekmes, iš anksto, prieš Pirkimo inicijavimą, išanalizavo visus galimus variantus</w:t>
      </w:r>
      <w:r w:rsidR="00E52B2D">
        <w:t>,</w:t>
      </w:r>
      <w:r w:rsidRPr="00F76BD9">
        <w:t xml:space="preserve"> įvertino rizikas</w:t>
      </w:r>
      <w:r w:rsidR="00E52B2D">
        <w:t xml:space="preserve"> ir nustatė, kad Pirkimo objekto dėl jo vientisumo negalima skaidyti:</w:t>
      </w:r>
    </w:p>
    <w:p w14:paraId="4AB0BE23" w14:textId="1DD401C7" w:rsidR="009D6DC0" w:rsidRPr="00F76BD9" w:rsidRDefault="009D6DC0" w:rsidP="00E52B2D">
      <w:pPr>
        <w:pStyle w:val="ListParagraph"/>
        <w:numPr>
          <w:ilvl w:val="0"/>
          <w:numId w:val="8"/>
        </w:numPr>
        <w:spacing w:after="120"/>
        <w:ind w:left="567" w:hanging="283"/>
        <w:contextualSpacing w:val="0"/>
        <w:jc w:val="both"/>
      </w:pPr>
      <w:r w:rsidRPr="00F76BD9">
        <w:t xml:space="preserve">kiekybiniu kriterijumi, nes perkama </w:t>
      </w:r>
      <w:r>
        <w:t xml:space="preserve">vientisa </w:t>
      </w:r>
      <w:r w:rsidRPr="00F76BD9">
        <w:t>paslauga: teikiant Sistemos palaikymo paslaugas bei nustačius papildomus poreikius, ją vystant ant „paskutinio kodo“</w:t>
      </w:r>
      <w:r w:rsidR="006C69A9">
        <w:t xml:space="preserve">, kuris sukurtas </w:t>
      </w:r>
      <w:r w:rsidR="006C69A9" w:rsidRPr="00F76BD9">
        <w:t>atlieka</w:t>
      </w:r>
      <w:r w:rsidR="006C69A9">
        <w:t>nt</w:t>
      </w:r>
      <w:r w:rsidR="006C69A9" w:rsidRPr="00F76BD9">
        <w:t xml:space="preserve"> priežiūr</w:t>
      </w:r>
      <w:r w:rsidR="006C69A9">
        <w:t>ą</w:t>
      </w:r>
      <w:r w:rsidRPr="00F76BD9">
        <w:t>, techniškai yra neįmanoma arba iš esmės negalima be žymių rizikų išskaidyti vieno Pirkimo objekto, atskiriant vystymą nuo priežiūros;</w:t>
      </w:r>
    </w:p>
    <w:p w14:paraId="797B16D5" w14:textId="3B946478" w:rsidR="009D6DC0" w:rsidRPr="00F76BD9" w:rsidRDefault="009D6DC0" w:rsidP="00E52B2D">
      <w:pPr>
        <w:pStyle w:val="ListParagraph"/>
        <w:numPr>
          <w:ilvl w:val="0"/>
          <w:numId w:val="8"/>
        </w:numPr>
        <w:spacing w:after="120"/>
        <w:ind w:left="567" w:hanging="283"/>
        <w:contextualSpacing w:val="0"/>
        <w:jc w:val="both"/>
      </w:pPr>
      <w:r w:rsidRPr="00F76BD9">
        <w:t xml:space="preserve">kokybiniu kriterijumi, nes perkamai paslaugai taikomi kokybės ir saugumo reikalavimai turi užtikrinti vienos bei vientisos </w:t>
      </w:r>
      <w:r w:rsidR="00BC58C7">
        <w:t>S</w:t>
      </w:r>
      <w:r w:rsidRPr="00F76BD9">
        <w:t xml:space="preserve">istemos bei </w:t>
      </w:r>
      <w:r>
        <w:t xml:space="preserve">integracijų su </w:t>
      </w:r>
      <w:r w:rsidRPr="00F76BD9">
        <w:t>kit</w:t>
      </w:r>
      <w:r>
        <w:t>omis</w:t>
      </w:r>
      <w:r w:rsidRPr="00F76BD9">
        <w:t xml:space="preserve"> sistem</w:t>
      </w:r>
      <w:r>
        <w:t xml:space="preserve">omis </w:t>
      </w:r>
      <w:r w:rsidRPr="00F76BD9">
        <w:t xml:space="preserve">nuolatinį veikimą; </w:t>
      </w:r>
    </w:p>
    <w:p w14:paraId="0227EC95" w14:textId="7FF0A582" w:rsidR="009D6DC0" w:rsidRDefault="009D6DC0" w:rsidP="00E52B2D">
      <w:pPr>
        <w:pStyle w:val="ListParagraph"/>
        <w:numPr>
          <w:ilvl w:val="0"/>
          <w:numId w:val="8"/>
        </w:numPr>
        <w:spacing w:after="120"/>
        <w:ind w:left="567" w:hanging="283"/>
        <w:contextualSpacing w:val="0"/>
        <w:jc w:val="both"/>
      </w:pPr>
      <w:r w:rsidRPr="00F76BD9">
        <w:t>pagal skirtingus įgyvendinimo etapus. Praktikoje klaidinga</w:t>
      </w:r>
      <w:r w:rsidR="00BC58C7">
        <w:t>i</w:t>
      </w:r>
      <w:r w:rsidRPr="00F76BD9">
        <w:t xml:space="preserve"> vertinama, kad priežiūra apima tik </w:t>
      </w:r>
      <w:r w:rsidR="00BC58C7">
        <w:t>S</w:t>
      </w:r>
      <w:r w:rsidRPr="00F76BD9">
        <w:t xml:space="preserve">istemos klaidų taisymus (gedimų šalinimus), o vystymas yra atskira paslauga, kuri atliekama atskirai, tarytum kitoje sistemoje ar kitu laiku. Pažymėtina, kad priežiūra bus atliekama kasdien, nuolat keičiant </w:t>
      </w:r>
      <w:r w:rsidR="00BC58C7">
        <w:t>S</w:t>
      </w:r>
      <w:r w:rsidRPr="00F76BD9">
        <w:t>istemos kod</w:t>
      </w:r>
      <w:r>
        <w:t>ą</w:t>
      </w:r>
      <w:r w:rsidRPr="00F76BD9">
        <w:t>, j</w:t>
      </w:r>
      <w:r>
        <w:t>į</w:t>
      </w:r>
      <w:r w:rsidRPr="00F76BD9">
        <w:t xml:space="preserve"> modifikuojant dėl tinkamo esamos </w:t>
      </w:r>
      <w:r w:rsidR="00BC58C7">
        <w:t>S</w:t>
      </w:r>
      <w:r w:rsidRPr="00F76BD9">
        <w:t>istemos veikimo. Sistem</w:t>
      </w:r>
      <w:r>
        <w:t xml:space="preserve">os kodas </w:t>
      </w:r>
      <w:r w:rsidRPr="00F76BD9">
        <w:t xml:space="preserve">yra nuolat </w:t>
      </w:r>
      <w:r>
        <w:t>kintantis</w:t>
      </w:r>
      <w:r w:rsidRPr="00F76BD9">
        <w:t xml:space="preserve">, todėl atliekant priežiūrą </w:t>
      </w:r>
      <w:r w:rsidR="00587559">
        <w:t>tuo pat metu gali būti</w:t>
      </w:r>
      <w:r w:rsidRPr="00F76BD9">
        <w:t xml:space="preserve"> reikalingi </w:t>
      </w:r>
      <w:r w:rsidR="00587559">
        <w:t xml:space="preserve">ir </w:t>
      </w:r>
      <w:r w:rsidRPr="00F76BD9">
        <w:t>nauji vystymo darbai, kurie atliekami ant paskutin</w:t>
      </w:r>
      <w:r w:rsidR="00587559">
        <w:t>io</w:t>
      </w:r>
      <w:r w:rsidRPr="00F76BD9">
        <w:t xml:space="preserve"> </w:t>
      </w:r>
      <w:r w:rsidR="00BC58C7">
        <w:t>S</w:t>
      </w:r>
      <w:r w:rsidRPr="00F76BD9">
        <w:t xml:space="preserve">istemos varianto (pvz. pašalinus gedimą </w:t>
      </w:r>
      <w:r w:rsidR="00587559">
        <w:t>S</w:t>
      </w:r>
      <w:r w:rsidRPr="00F76BD9">
        <w:t>istema papildoma kodu ir at</w:t>
      </w:r>
      <w:r w:rsidR="00587559">
        <w:t>siranda kovo versija</w:t>
      </w:r>
      <w:r w:rsidRPr="00F76BD9">
        <w:t xml:space="preserve"> xxx1, aišku, vystymas </w:t>
      </w:r>
      <w:r w:rsidR="00587559">
        <w:t xml:space="preserve">turi būti </w:t>
      </w:r>
      <w:r w:rsidRPr="00F76BD9">
        <w:t xml:space="preserve">atliekamas ant galutinio kodo </w:t>
      </w:r>
      <w:r w:rsidR="00587559">
        <w:t xml:space="preserve">versijos </w:t>
      </w:r>
      <w:r w:rsidRPr="00F76BD9">
        <w:t xml:space="preserve">xxx1, todėl fiziškai neįmanoma ar iš esmės rizikinga atskirti vystymą, nes kol pateikiamas kitam tiekėjui užsakymas dėl vystymo ant </w:t>
      </w:r>
      <w:r w:rsidR="00587559">
        <w:t>S</w:t>
      </w:r>
      <w:r w:rsidRPr="00F76BD9">
        <w:t>istemos xxx</w:t>
      </w:r>
      <w:r w:rsidR="00587559">
        <w:t xml:space="preserve"> kodo versijos</w:t>
      </w:r>
      <w:r w:rsidRPr="00F76BD9">
        <w:t xml:space="preserve">, jau </w:t>
      </w:r>
      <w:r w:rsidR="00587559">
        <w:t>būtų</w:t>
      </w:r>
      <w:r w:rsidRPr="00F76BD9">
        <w:t xml:space="preserve"> atliktos kito tiekėjo konfigūracijos ir </w:t>
      </w:r>
      <w:r w:rsidR="00587559">
        <w:t>S</w:t>
      </w:r>
      <w:r w:rsidRPr="00F76BD9">
        <w:t xml:space="preserve">istema jau </w:t>
      </w:r>
      <w:r w:rsidR="00587559">
        <w:t>turi</w:t>
      </w:r>
      <w:r w:rsidRPr="00F76BD9">
        <w:t xml:space="preserve"> xxx1</w:t>
      </w:r>
      <w:r w:rsidR="00587559">
        <w:t xml:space="preserve"> kodo versiją</w:t>
      </w:r>
      <w:r w:rsidRPr="00F76BD9">
        <w:t xml:space="preserve">, </w:t>
      </w:r>
      <w:r w:rsidR="00587559">
        <w:t>tokiu būdu</w:t>
      </w:r>
      <w:r w:rsidRPr="00F76BD9">
        <w:t xml:space="preserve"> vystymo kodas rašomas ant xxx</w:t>
      </w:r>
      <w:r w:rsidR="00587559">
        <w:t xml:space="preserve"> kodo versijos</w:t>
      </w:r>
      <w:r w:rsidRPr="00F76BD9">
        <w:t>, k</w:t>
      </w:r>
      <w:r w:rsidR="00587559">
        <w:t>uri</w:t>
      </w:r>
      <w:r w:rsidRPr="00F76BD9">
        <w:t xml:space="preserve"> iš esmės jau bus neaktual</w:t>
      </w:r>
      <w:r w:rsidR="00587559">
        <w:t>i</w:t>
      </w:r>
      <w:r w:rsidRPr="00F76BD9">
        <w:t xml:space="preserve"> ir </w:t>
      </w:r>
      <w:r w:rsidR="00587559">
        <w:t>bendrai S</w:t>
      </w:r>
      <w:r w:rsidRPr="00F76BD9">
        <w:t>istemoje neveiks</w:t>
      </w:r>
      <w:r w:rsidR="00587559">
        <w:t>.</w:t>
      </w:r>
    </w:p>
    <w:p w14:paraId="638AD515" w14:textId="24A18322" w:rsidR="00E52B2D" w:rsidRPr="00E52B2D" w:rsidRDefault="00E52B2D" w:rsidP="00E52B2D">
      <w:pPr>
        <w:spacing w:after="120" w:line="240" w:lineRule="auto"/>
        <w:ind w:firstLine="567"/>
        <w:jc w:val="both"/>
        <w:rPr>
          <w:rFonts w:ascii="Arial" w:hAnsi="Arial" w:cs="Arial"/>
          <w:sz w:val="20"/>
          <w:szCs w:val="20"/>
        </w:rPr>
      </w:pPr>
      <w:r w:rsidRPr="00E52B2D">
        <w:rPr>
          <w:rFonts w:ascii="Arial" w:hAnsi="Arial" w:cs="Arial"/>
          <w:sz w:val="20"/>
          <w:szCs w:val="20"/>
        </w:rPr>
        <w:t>Atskirai pažymėtina, kad</w:t>
      </w:r>
      <w:r>
        <w:rPr>
          <w:rFonts w:ascii="Arial" w:hAnsi="Arial" w:cs="Arial"/>
          <w:sz w:val="20"/>
          <w:szCs w:val="20"/>
        </w:rPr>
        <w:t xml:space="preserve"> Sistema, susidedanti iš </w:t>
      </w:r>
      <w:proofErr w:type="spellStart"/>
      <w:r>
        <w:rPr>
          <w:rFonts w:ascii="Arial" w:hAnsi="Arial" w:cs="Arial"/>
          <w:sz w:val="20"/>
          <w:szCs w:val="20"/>
        </w:rPr>
        <w:t>Jira</w:t>
      </w:r>
      <w:proofErr w:type="spellEnd"/>
      <w:r>
        <w:rPr>
          <w:rFonts w:ascii="Arial" w:hAnsi="Arial" w:cs="Arial"/>
          <w:sz w:val="20"/>
          <w:szCs w:val="20"/>
        </w:rPr>
        <w:t xml:space="preserve"> ir </w:t>
      </w:r>
      <w:proofErr w:type="spellStart"/>
      <w:r>
        <w:rPr>
          <w:rFonts w:ascii="Arial" w:hAnsi="Arial" w:cs="Arial"/>
          <w:sz w:val="20"/>
          <w:szCs w:val="20"/>
        </w:rPr>
        <w:t>Confluence</w:t>
      </w:r>
      <w:proofErr w:type="spellEnd"/>
      <w:r>
        <w:rPr>
          <w:rFonts w:ascii="Arial" w:hAnsi="Arial" w:cs="Arial"/>
          <w:sz w:val="20"/>
          <w:szCs w:val="20"/>
        </w:rPr>
        <w:t xml:space="preserve"> produktų, yra neatsiejamai susijusios tarpusavyje. Abiejų produktų techninis ir funkcinis suderinamumas yra paaiškinamas tuo, jog tiek </w:t>
      </w:r>
      <w:proofErr w:type="spellStart"/>
      <w:r>
        <w:rPr>
          <w:rFonts w:ascii="Arial" w:hAnsi="Arial" w:cs="Arial"/>
          <w:sz w:val="20"/>
          <w:szCs w:val="20"/>
        </w:rPr>
        <w:t>Jira</w:t>
      </w:r>
      <w:proofErr w:type="spellEnd"/>
      <w:r>
        <w:rPr>
          <w:rFonts w:ascii="Arial" w:hAnsi="Arial" w:cs="Arial"/>
          <w:sz w:val="20"/>
          <w:szCs w:val="20"/>
        </w:rPr>
        <w:t xml:space="preserve">, tiek </w:t>
      </w:r>
      <w:proofErr w:type="spellStart"/>
      <w:r>
        <w:rPr>
          <w:rFonts w:ascii="Arial" w:hAnsi="Arial" w:cs="Arial"/>
          <w:sz w:val="20"/>
          <w:szCs w:val="20"/>
        </w:rPr>
        <w:t>Confluence</w:t>
      </w:r>
      <w:proofErr w:type="spellEnd"/>
      <w:r>
        <w:rPr>
          <w:rFonts w:ascii="Arial" w:hAnsi="Arial" w:cs="Arial"/>
          <w:sz w:val="20"/>
          <w:szCs w:val="20"/>
        </w:rPr>
        <w:t xml:space="preserve"> yra </w:t>
      </w:r>
      <w:r w:rsidRPr="00E52B2D">
        <w:rPr>
          <w:rFonts w:ascii="Arial" w:hAnsi="Arial" w:cs="Arial"/>
          <w:sz w:val="20"/>
          <w:szCs w:val="20"/>
        </w:rPr>
        <w:t>vieno gamintojo produktai, kurie turi integracijas tarpusavy (</w:t>
      </w:r>
      <w:proofErr w:type="spellStart"/>
      <w:r w:rsidRPr="00E52B2D">
        <w:rPr>
          <w:rFonts w:ascii="Arial" w:hAnsi="Arial" w:cs="Arial"/>
          <w:sz w:val="20"/>
          <w:szCs w:val="20"/>
        </w:rPr>
        <w:t>Jira</w:t>
      </w:r>
      <w:proofErr w:type="spellEnd"/>
      <w:r w:rsidRPr="00E52B2D">
        <w:rPr>
          <w:rFonts w:ascii="Arial" w:hAnsi="Arial" w:cs="Arial"/>
          <w:sz w:val="20"/>
          <w:szCs w:val="20"/>
        </w:rPr>
        <w:t xml:space="preserve"> užduotys siejamos su </w:t>
      </w:r>
      <w:proofErr w:type="spellStart"/>
      <w:r w:rsidRPr="00E52B2D">
        <w:rPr>
          <w:rFonts w:ascii="Arial" w:hAnsi="Arial" w:cs="Arial"/>
          <w:sz w:val="20"/>
          <w:szCs w:val="20"/>
        </w:rPr>
        <w:t>Confluence</w:t>
      </w:r>
      <w:proofErr w:type="spellEnd"/>
      <w:r w:rsidRPr="00E52B2D">
        <w:rPr>
          <w:rFonts w:ascii="Arial" w:hAnsi="Arial" w:cs="Arial"/>
          <w:sz w:val="20"/>
          <w:szCs w:val="20"/>
        </w:rPr>
        <w:t xml:space="preserve"> dokumentacija).</w:t>
      </w:r>
      <w:r>
        <w:rPr>
          <w:rFonts w:ascii="Arial" w:hAnsi="Arial" w:cs="Arial"/>
          <w:sz w:val="20"/>
          <w:szCs w:val="20"/>
        </w:rPr>
        <w:t xml:space="preserve"> Todėl abiejų produktų išskyrimas ir skirtingų paslaugų teikėjų</w:t>
      </w:r>
      <w:r w:rsidRPr="00E52B2D">
        <w:rPr>
          <w:rFonts w:ascii="Arial" w:hAnsi="Arial" w:cs="Arial"/>
          <w:sz w:val="20"/>
          <w:szCs w:val="20"/>
        </w:rPr>
        <w:t xml:space="preserve"> </w:t>
      </w:r>
      <w:r>
        <w:rPr>
          <w:rFonts w:ascii="Arial" w:hAnsi="Arial" w:cs="Arial"/>
          <w:sz w:val="20"/>
          <w:szCs w:val="20"/>
        </w:rPr>
        <w:t>pasitelkimas</w:t>
      </w:r>
      <w:r w:rsidRPr="00E52B2D">
        <w:rPr>
          <w:rFonts w:ascii="Arial" w:hAnsi="Arial" w:cs="Arial"/>
          <w:sz w:val="20"/>
          <w:szCs w:val="20"/>
        </w:rPr>
        <w:t xml:space="preserve"> </w:t>
      </w:r>
      <w:r>
        <w:rPr>
          <w:rFonts w:ascii="Arial" w:hAnsi="Arial" w:cs="Arial"/>
          <w:sz w:val="20"/>
          <w:szCs w:val="20"/>
        </w:rPr>
        <w:t xml:space="preserve">ketinamų įsigyti aptarnavimo paslaugų atžvilgiu būtų netikslingas, technologiškai nepagrįstas, </w:t>
      </w:r>
      <w:r w:rsidRPr="00E52B2D">
        <w:rPr>
          <w:rFonts w:ascii="Arial" w:hAnsi="Arial" w:cs="Arial"/>
          <w:sz w:val="20"/>
          <w:szCs w:val="20"/>
        </w:rPr>
        <w:t>apsunkintų procesų vykdymą ir didintų techninių bei organizacinių rizikų tikimybę.</w:t>
      </w:r>
    </w:p>
    <w:p w14:paraId="03733C85" w14:textId="775A7015" w:rsidR="009D6DC0" w:rsidRDefault="009671B7" w:rsidP="00E52B2D">
      <w:pPr>
        <w:pStyle w:val="ListParagraph"/>
        <w:spacing w:after="120"/>
        <w:ind w:left="0" w:firstLine="567"/>
        <w:contextualSpacing w:val="0"/>
        <w:jc w:val="both"/>
        <w:rPr>
          <w:u w:val="single"/>
        </w:rPr>
      </w:pPr>
      <w:r>
        <w:rPr>
          <w:u w:val="single"/>
        </w:rPr>
        <w:t>S</w:t>
      </w:r>
      <w:r w:rsidR="009D6DC0" w:rsidRPr="00F76BD9">
        <w:rPr>
          <w:u w:val="single"/>
        </w:rPr>
        <w:t>iekiant papildomai paaiškinti dėl Pirkimo objekto neskaidymo pagrįstumo, nagrinėjant VPĮ 28 str. 2 dalies aspektu, teikiame papildomus paaiškinimus dėl faktorių, kurių pagrindu Pirkimas negalėtų būti skaidomas ir tuo atveju, jei perkančioji organizacija vadovautųsi VPĮ 28 str. 2 dalimi.</w:t>
      </w:r>
    </w:p>
    <w:p w14:paraId="592AE801" w14:textId="6F71B49F" w:rsidR="009D6DC0" w:rsidRDefault="009D6DC0" w:rsidP="00E52B2D">
      <w:pPr>
        <w:pStyle w:val="ListParagraph"/>
        <w:spacing w:after="120"/>
        <w:ind w:left="0" w:firstLine="567"/>
        <w:contextualSpacing w:val="0"/>
        <w:jc w:val="both"/>
        <w:rPr>
          <w:color w:val="000000"/>
          <w:shd w:val="clear" w:color="auto" w:fill="FFFFFF"/>
        </w:rPr>
      </w:pPr>
      <w:r w:rsidRPr="00F76BD9">
        <w:rPr>
          <w:color w:val="000000"/>
          <w:shd w:val="clear" w:color="auto" w:fill="FFFFFF"/>
        </w:rPr>
        <w:t xml:space="preserve">Vadovaujantis visuotinai žinomomis rinkos taisyklėmis (masto ekonomija), didesnio prekių ar paslaugų kiekio pirkimas sąlygoja mažesnes pasiūlymų kainas, nes vienas tiekėjas gali teikti kelias paslaugas, optimizuojant darbo jėgos, žinių ir kitų resursų sąnaudas, dėl ko pasiūlomi mažesni įkainiai. Jeigu Pirkimas būtų </w:t>
      </w:r>
      <w:r w:rsidRPr="00F76BD9">
        <w:rPr>
          <w:color w:val="000000"/>
          <w:shd w:val="clear" w:color="auto" w:fill="FFFFFF"/>
        </w:rPr>
        <w:lastRenderedPageBreak/>
        <w:t xml:space="preserve">skaidomas į </w:t>
      </w:r>
      <w:r w:rsidR="009671B7">
        <w:rPr>
          <w:color w:val="000000"/>
          <w:shd w:val="clear" w:color="auto" w:fill="FFFFFF"/>
        </w:rPr>
        <w:t>kelis</w:t>
      </w:r>
      <w:r w:rsidRPr="00F76BD9">
        <w:rPr>
          <w:color w:val="000000"/>
          <w:shd w:val="clear" w:color="auto" w:fill="FFFFFF"/>
        </w:rPr>
        <w:t xml:space="preserve"> pirkimo objektus ir paslaugas teiktų </w:t>
      </w:r>
      <w:r w:rsidR="009671B7">
        <w:rPr>
          <w:color w:val="000000"/>
          <w:shd w:val="clear" w:color="auto" w:fill="FFFFFF"/>
        </w:rPr>
        <w:t>keli</w:t>
      </w:r>
      <w:r w:rsidRPr="00F76BD9">
        <w:rPr>
          <w:color w:val="000000"/>
          <w:shd w:val="clear" w:color="auto" w:fill="FFFFFF"/>
        </w:rPr>
        <w:t xml:space="preserve"> tiekėjai, kurie turėtų organizuoti ir užtikrinti savo darbo jėgą, naudojamą įrangą, specialias žinias turinčius specialistus, tai savaime padidintų pasiūlymų kainas atskiroms Pirkimo objekto dalims, palyginus su vienu tiekėju (nes diegimo ir aptarnavimo paslauga reikalauja tų pačių specialistų, įrangos, darbo jėgos, tad vienam tiekėjui nereikėtų šių žymių sąnaudų dvigubinti).</w:t>
      </w:r>
    </w:p>
    <w:p w14:paraId="5E135F47" w14:textId="66AFD535" w:rsidR="009D6DC0" w:rsidRDefault="009D6DC0" w:rsidP="00E52B2D">
      <w:pPr>
        <w:pStyle w:val="ListParagraph"/>
        <w:spacing w:after="120"/>
        <w:ind w:left="0" w:firstLine="567"/>
        <w:contextualSpacing w:val="0"/>
        <w:jc w:val="both"/>
        <w:rPr>
          <w:shd w:val="clear" w:color="auto" w:fill="FFFFFF"/>
        </w:rPr>
      </w:pPr>
      <w:r w:rsidRPr="00F76BD9">
        <w:rPr>
          <w:shd w:val="clear" w:color="auto" w:fill="FFFFFF"/>
        </w:rPr>
        <w:t>Pažymėtina, kad dviejų tiekėjų veikimo atveju būtų reikalingos dvi kūrimo aplinkos: vystymo darbams ir priežiūros darbams, kadangi vienu metu turėtų būti užtikrinta galimybė dirbti atskirų paslaugų teikėjų komandoms, vėliau reikėtų atskiros paslaugos ar GPC pajėgumų (papildomų darbo valandų) konfigūruoti ir ištestuoti abu rezultatus (ar dar daugiau rezultatų), pašalinti konfigūravimo klaidas arba testavimo metu aptikus klaidas, nustatyti kurio tiekėjo kaltė ir tada įpareigoti ištaisyti – pažymėtina, kad laiko sąnaudos ženkliai išaugtų, o tai yra neįmanoma dėl įsipareigojimų prieš Ignitis grupės įmones</w:t>
      </w:r>
      <w:r>
        <w:rPr>
          <w:shd w:val="clear" w:color="auto" w:fill="FFFFFF"/>
        </w:rPr>
        <w:t xml:space="preserve"> ir</w:t>
      </w:r>
      <w:r w:rsidRPr="00F76BD9">
        <w:rPr>
          <w:shd w:val="clear" w:color="auto" w:fill="FFFFFF"/>
        </w:rPr>
        <w:t xml:space="preserve"> atitinkamai prieš vartotojus</w:t>
      </w:r>
      <w:r>
        <w:rPr>
          <w:shd w:val="clear" w:color="auto" w:fill="FFFFFF"/>
        </w:rPr>
        <w:t>.</w:t>
      </w:r>
    </w:p>
    <w:p w14:paraId="283B1CBB" w14:textId="5477FAEA" w:rsidR="009D6DC0" w:rsidRDefault="009D6DC0" w:rsidP="00E52B2D">
      <w:pPr>
        <w:pStyle w:val="ListParagraph"/>
        <w:spacing w:after="120"/>
        <w:ind w:left="0" w:firstLine="567"/>
        <w:contextualSpacing w:val="0"/>
        <w:jc w:val="both"/>
        <w:rPr>
          <w:color w:val="000000"/>
          <w:shd w:val="clear" w:color="auto" w:fill="FFFFFF"/>
          <w:lang w:eastAsia="sv-SE"/>
        </w:rPr>
      </w:pPr>
      <w:r w:rsidRPr="00F76BD9">
        <w:rPr>
          <w:color w:val="000000"/>
          <w:shd w:val="clear" w:color="auto" w:fill="FFFFFF"/>
          <w:lang w:eastAsia="sv-SE"/>
        </w:rPr>
        <w:t xml:space="preserve">Du ar daugiau tiekėjų turėtų atlikti darbus atskirose Sistemos aplinkose, tačiau galutinis rezultatas turėtų būti įgyvendintas gamybinėje (kliento darbinėje) aplinkoje. Atsižvelgiant į tai, kad nėra aišku ir neįmanoma prognozuoti kada gali prireikti priežiūros, o kada vystymo paslaugų, t. y. kas galutinis </w:t>
      </w:r>
      <w:r w:rsidR="00BC58C7">
        <w:rPr>
          <w:color w:val="000000"/>
          <w:shd w:val="clear" w:color="auto" w:fill="FFFFFF"/>
          <w:lang w:eastAsia="sv-SE"/>
        </w:rPr>
        <w:t>S</w:t>
      </w:r>
      <w:r w:rsidRPr="00F76BD9">
        <w:rPr>
          <w:color w:val="000000"/>
          <w:shd w:val="clear" w:color="auto" w:fill="FFFFFF"/>
          <w:lang w:eastAsia="sv-SE"/>
        </w:rPr>
        <w:t xml:space="preserve">istemos tvarkytojas, neįmanoma Pirkimo sąlygose nurodyti, kas galutinai turės suderinti dviejų tiekėjų diegimus ir konfigūracijas. Kas dar kartą patvirtina </w:t>
      </w:r>
      <w:r w:rsidR="00BC58C7">
        <w:rPr>
          <w:color w:val="000000"/>
          <w:shd w:val="clear" w:color="auto" w:fill="FFFFFF"/>
          <w:lang w:eastAsia="sv-SE"/>
        </w:rPr>
        <w:t>S</w:t>
      </w:r>
      <w:r w:rsidRPr="00F76BD9">
        <w:rPr>
          <w:color w:val="000000"/>
          <w:shd w:val="clear" w:color="auto" w:fill="FFFFFF"/>
          <w:lang w:eastAsia="sv-SE"/>
        </w:rPr>
        <w:t>istemos atskyrimo negalimumą iš esmės ir įrodo, kad tai negali būti traktuojama kaip Pirkimo sąlygų netinkamas formulavimas.</w:t>
      </w:r>
    </w:p>
    <w:p w14:paraId="7ECA0806" w14:textId="77777777" w:rsidR="009D6DC0" w:rsidRDefault="009D6DC0" w:rsidP="00E52B2D">
      <w:pPr>
        <w:pStyle w:val="ListParagraph"/>
        <w:spacing w:after="120"/>
        <w:ind w:left="0" w:firstLine="567"/>
        <w:contextualSpacing w:val="0"/>
        <w:jc w:val="both"/>
        <w:rPr>
          <w:color w:val="000000"/>
          <w:shd w:val="clear" w:color="auto" w:fill="FFFFFF"/>
        </w:rPr>
      </w:pPr>
      <w:r w:rsidRPr="00F76BD9">
        <w:rPr>
          <w:color w:val="000000"/>
          <w:shd w:val="clear" w:color="auto" w:fill="FFFFFF"/>
          <w:lang w:eastAsia="sv-SE"/>
        </w:rPr>
        <w:t>P</w:t>
      </w:r>
      <w:r w:rsidRPr="00F76BD9">
        <w:rPr>
          <w:color w:val="000000"/>
          <w:shd w:val="clear" w:color="auto" w:fill="FFFFFF"/>
        </w:rPr>
        <w:t>adidėtų GPC administravimo kaštai – dviejų ar daugiau tiekėjų ir jų darbo suvaldymas reikalauja ženkliai daugiau laiko nei vieno tiekėjo.</w:t>
      </w:r>
    </w:p>
    <w:p w14:paraId="27A2C312" w14:textId="56464698" w:rsidR="009D6DC0" w:rsidRDefault="009D6DC0" w:rsidP="00E52B2D">
      <w:pPr>
        <w:pStyle w:val="ListParagraph"/>
        <w:spacing w:after="120"/>
        <w:ind w:left="0" w:firstLine="567"/>
        <w:contextualSpacing w:val="0"/>
        <w:jc w:val="both"/>
        <w:rPr>
          <w:color w:val="000000" w:themeColor="text1"/>
          <w:shd w:val="clear" w:color="auto" w:fill="FFFFFF"/>
        </w:rPr>
      </w:pPr>
      <w:r w:rsidRPr="00F76BD9">
        <w:rPr>
          <w:color w:val="000000" w:themeColor="text1"/>
          <w:shd w:val="clear" w:color="auto" w:fill="FFFFFF"/>
        </w:rPr>
        <w:t xml:space="preserve">Esant skirtingiems vystymo ir priežiūros paslaugų tiekėjams išaugtų Sistemos sutrikimų tikimybė dėl skirtingų tiekėjų veiksmų, skirtingų darbo metodų, programavimo inžinerijos principų. Tai reiškia, kad dviem ar daugiau tiekėjų dirbant skirtingose aplinkose, jos nebus tarpusavyje suderintos, o pakeitimus perkeliant į gamybinę aplinką, galimi nuolatiniai incidentai bei Sistemos prastovos. </w:t>
      </w:r>
    </w:p>
    <w:p w14:paraId="381C698E" w14:textId="386A0114" w:rsidR="00B05853" w:rsidRPr="005C6820" w:rsidRDefault="0054074B" w:rsidP="00E52B2D">
      <w:pPr>
        <w:pStyle w:val="ListParagraph"/>
        <w:spacing w:after="120"/>
        <w:ind w:left="0" w:firstLine="567"/>
        <w:contextualSpacing w:val="0"/>
        <w:jc w:val="both"/>
        <w:rPr>
          <w:bCs/>
        </w:rPr>
      </w:pPr>
      <w:r w:rsidRPr="009671B7">
        <w:rPr>
          <w:bCs/>
        </w:rPr>
        <w:t xml:space="preserve">Taigi, </w:t>
      </w:r>
      <w:r w:rsidR="009671B7">
        <w:rPr>
          <w:u w:val="single"/>
        </w:rPr>
        <w:t>P</w:t>
      </w:r>
      <w:r w:rsidR="00B05853" w:rsidRPr="009671B7">
        <w:rPr>
          <w:u w:val="single"/>
        </w:rPr>
        <w:t xml:space="preserve">irkimas negalėtų ir neturėtų būti skaidomas į dalis, nes toks skaidymas nėra galimas pagal VPĮ 28 str. kriterijus dėl to, kad perkama vientisa </w:t>
      </w:r>
      <w:r w:rsidRPr="009671B7">
        <w:rPr>
          <w:u w:val="single"/>
        </w:rPr>
        <w:t>Sistemos aptarnavimo paslauga</w:t>
      </w:r>
      <w:r w:rsidR="00B05853" w:rsidRPr="009671B7">
        <w:rPr>
          <w:u w:val="single"/>
        </w:rPr>
        <w:t xml:space="preserve">. Pažymėtina, kad šiuo atveju Pirkimo objektas nei teoriškai, nei praktiškai negali būti skaidomas, nes perkamas vienas nedalomas pirkimo objektas. </w:t>
      </w:r>
    </w:p>
    <w:bookmarkEnd w:id="0"/>
    <w:p w14:paraId="350A405B" w14:textId="77777777" w:rsidR="00032DAF" w:rsidRPr="005C6820" w:rsidRDefault="00032DAF" w:rsidP="00E52B2D">
      <w:pPr>
        <w:pStyle w:val="ListParagraph"/>
        <w:tabs>
          <w:tab w:val="left" w:pos="567"/>
        </w:tabs>
        <w:spacing w:after="120"/>
        <w:ind w:left="0"/>
        <w:contextualSpacing w:val="0"/>
        <w:jc w:val="both"/>
      </w:pPr>
    </w:p>
    <w:sectPr w:rsidR="00032DAF" w:rsidRPr="005C6820" w:rsidSect="00453822">
      <w:headerReference w:type="even" r:id="rId7"/>
      <w:headerReference w:type="default" r:id="rId8"/>
      <w:footerReference w:type="even" r:id="rId9"/>
      <w:footerReference w:type="default" r:id="rId10"/>
      <w:headerReference w:type="first" r:id="rId11"/>
      <w:footerReference w:type="first" r:id="rId12"/>
      <w:pgSz w:w="11906" w:h="16838"/>
      <w:pgMar w:top="993" w:right="567" w:bottom="142"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A6022" w14:textId="77777777" w:rsidR="00BC18B0" w:rsidRDefault="00BC18B0" w:rsidP="00AE0EF3">
      <w:pPr>
        <w:spacing w:after="0" w:line="240" w:lineRule="auto"/>
      </w:pPr>
      <w:r>
        <w:separator/>
      </w:r>
    </w:p>
  </w:endnote>
  <w:endnote w:type="continuationSeparator" w:id="0">
    <w:p w14:paraId="0F4C7FF3" w14:textId="77777777" w:rsidR="00BC18B0" w:rsidRDefault="00BC18B0" w:rsidP="00AE0E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CC362" w14:textId="77777777" w:rsidR="00557D35" w:rsidRDefault="00557D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E4DC9" w14:textId="77777777" w:rsidR="00557D35" w:rsidRDefault="00557D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DD410" w14:textId="77777777" w:rsidR="00557D35" w:rsidRDefault="00557D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9033F" w14:textId="77777777" w:rsidR="00BC18B0" w:rsidRDefault="00BC18B0" w:rsidP="00AE0EF3">
      <w:pPr>
        <w:spacing w:after="0" w:line="240" w:lineRule="auto"/>
      </w:pPr>
      <w:r>
        <w:separator/>
      </w:r>
    </w:p>
  </w:footnote>
  <w:footnote w:type="continuationSeparator" w:id="0">
    <w:p w14:paraId="6DCAD896" w14:textId="77777777" w:rsidR="00BC18B0" w:rsidRDefault="00BC18B0" w:rsidP="00AE0E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FD050" w14:textId="5336E6C3" w:rsidR="00557D35" w:rsidRDefault="00557D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983CC" w14:textId="28BD2303" w:rsidR="00AE0EF3" w:rsidRDefault="00AE0E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EC154" w14:textId="2F8F46DD" w:rsidR="00557D35" w:rsidRDefault="00557D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6A51DC"/>
    <w:multiLevelType w:val="hybridMultilevel"/>
    <w:tmpl w:val="4B601E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C7E33B0"/>
    <w:multiLevelType w:val="multilevel"/>
    <w:tmpl w:val="60A65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1A84108"/>
    <w:multiLevelType w:val="hybridMultilevel"/>
    <w:tmpl w:val="0BE6E446"/>
    <w:lvl w:ilvl="0" w:tplc="13DC1B06">
      <w:numFmt w:val="bullet"/>
      <w:lvlText w:val="•"/>
      <w:lvlJc w:val="left"/>
      <w:pPr>
        <w:ind w:left="2020" w:hanging="580"/>
      </w:pPr>
      <w:rPr>
        <w:rFonts w:ascii="Arial" w:eastAsia="Times New Roman" w:hAnsi="Arial" w:cs="Aria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 w15:restartNumberingAfterBreak="0">
    <w:nsid w:val="4256170A"/>
    <w:multiLevelType w:val="hybridMultilevel"/>
    <w:tmpl w:val="0E3A084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43CA6FE1"/>
    <w:multiLevelType w:val="hybridMultilevel"/>
    <w:tmpl w:val="910029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5C653E0"/>
    <w:multiLevelType w:val="hybridMultilevel"/>
    <w:tmpl w:val="96420A6E"/>
    <w:lvl w:ilvl="0" w:tplc="D216405E">
      <w:start w:val="1"/>
      <w:numFmt w:val="bullet"/>
      <w:lvlText w:val="-"/>
      <w:lvlJc w:val="left"/>
      <w:pPr>
        <w:ind w:left="720" w:hanging="360"/>
      </w:pPr>
      <w:rPr>
        <w:rFonts w:ascii="Segoe UI Semibold" w:hAnsi="Segoe UI Semibold"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85959CA"/>
    <w:multiLevelType w:val="hybridMultilevel"/>
    <w:tmpl w:val="2BFCED16"/>
    <w:lvl w:ilvl="0" w:tplc="13DC1B06">
      <w:numFmt w:val="bullet"/>
      <w:lvlText w:val="•"/>
      <w:lvlJc w:val="left"/>
      <w:pPr>
        <w:ind w:left="1867" w:hanging="580"/>
      </w:pPr>
      <w:rPr>
        <w:rFonts w:ascii="Arial" w:eastAsia="Times New Roman" w:hAnsi="Arial" w:cs="Aria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7BAE1D68"/>
    <w:multiLevelType w:val="hybridMultilevel"/>
    <w:tmpl w:val="FF2275EC"/>
    <w:lvl w:ilvl="0" w:tplc="13DC1B06">
      <w:numFmt w:val="bullet"/>
      <w:lvlText w:val="•"/>
      <w:lvlJc w:val="left"/>
      <w:pPr>
        <w:ind w:left="1300" w:hanging="58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339427785">
    <w:abstractNumId w:val="1"/>
  </w:num>
  <w:num w:numId="2" w16cid:durableId="761337793">
    <w:abstractNumId w:val="0"/>
  </w:num>
  <w:num w:numId="3" w16cid:durableId="173807017">
    <w:abstractNumId w:val="4"/>
  </w:num>
  <w:num w:numId="4" w16cid:durableId="1070276321">
    <w:abstractNumId w:val="3"/>
  </w:num>
  <w:num w:numId="5" w16cid:durableId="1694186056">
    <w:abstractNumId w:val="7"/>
  </w:num>
  <w:num w:numId="6" w16cid:durableId="1035347646">
    <w:abstractNumId w:val="2"/>
  </w:num>
  <w:num w:numId="7" w16cid:durableId="428039582">
    <w:abstractNumId w:val="6"/>
  </w:num>
  <w:num w:numId="8" w16cid:durableId="18447081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EF3"/>
    <w:rsid w:val="0001390C"/>
    <w:rsid w:val="000239CE"/>
    <w:rsid w:val="00032DAF"/>
    <w:rsid w:val="000D1B22"/>
    <w:rsid w:val="00142833"/>
    <w:rsid w:val="001752EF"/>
    <w:rsid w:val="00232621"/>
    <w:rsid w:val="002E2665"/>
    <w:rsid w:val="00357C19"/>
    <w:rsid w:val="003A4E0C"/>
    <w:rsid w:val="003C4AA9"/>
    <w:rsid w:val="003C5BAB"/>
    <w:rsid w:val="003D5C1E"/>
    <w:rsid w:val="003F18C8"/>
    <w:rsid w:val="00424839"/>
    <w:rsid w:val="00453822"/>
    <w:rsid w:val="00505A26"/>
    <w:rsid w:val="00527BC2"/>
    <w:rsid w:val="005329C8"/>
    <w:rsid w:val="0054074B"/>
    <w:rsid w:val="0054252E"/>
    <w:rsid w:val="00557D35"/>
    <w:rsid w:val="00587559"/>
    <w:rsid w:val="005878BD"/>
    <w:rsid w:val="005C6820"/>
    <w:rsid w:val="0063033A"/>
    <w:rsid w:val="00652927"/>
    <w:rsid w:val="006C69A9"/>
    <w:rsid w:val="006D2872"/>
    <w:rsid w:val="0071592A"/>
    <w:rsid w:val="00733636"/>
    <w:rsid w:val="007652D4"/>
    <w:rsid w:val="007F1517"/>
    <w:rsid w:val="007F1DD3"/>
    <w:rsid w:val="00837BDA"/>
    <w:rsid w:val="008B6044"/>
    <w:rsid w:val="00950C5A"/>
    <w:rsid w:val="00956261"/>
    <w:rsid w:val="0096286E"/>
    <w:rsid w:val="009671B7"/>
    <w:rsid w:val="009A0A30"/>
    <w:rsid w:val="009D6DC0"/>
    <w:rsid w:val="009F4032"/>
    <w:rsid w:val="00A01B31"/>
    <w:rsid w:val="00A35A3F"/>
    <w:rsid w:val="00A65754"/>
    <w:rsid w:val="00AB4A51"/>
    <w:rsid w:val="00AE0EF3"/>
    <w:rsid w:val="00AF5ABC"/>
    <w:rsid w:val="00B05853"/>
    <w:rsid w:val="00B43E0A"/>
    <w:rsid w:val="00BB6EDB"/>
    <w:rsid w:val="00BC18B0"/>
    <w:rsid w:val="00BC58C7"/>
    <w:rsid w:val="00C23E58"/>
    <w:rsid w:val="00C57767"/>
    <w:rsid w:val="00C778FC"/>
    <w:rsid w:val="00C8489F"/>
    <w:rsid w:val="00CA3E88"/>
    <w:rsid w:val="00CF0CD5"/>
    <w:rsid w:val="00CF388A"/>
    <w:rsid w:val="00D02B42"/>
    <w:rsid w:val="00D14EFF"/>
    <w:rsid w:val="00D64AFD"/>
    <w:rsid w:val="00DA041E"/>
    <w:rsid w:val="00DA34E3"/>
    <w:rsid w:val="00DF3338"/>
    <w:rsid w:val="00E361F9"/>
    <w:rsid w:val="00E52B2D"/>
    <w:rsid w:val="00E549B7"/>
    <w:rsid w:val="00E74C6E"/>
    <w:rsid w:val="00E86113"/>
    <w:rsid w:val="00E95FDB"/>
    <w:rsid w:val="00F4144B"/>
    <w:rsid w:val="00F62F3D"/>
    <w:rsid w:val="00F714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9E8AAA"/>
  <w15:chartTrackingRefBased/>
  <w15:docId w15:val="{4206D27A-F3B2-40C1-A8AD-81AEFA893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E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List Paragraph Red,List not in Table,Table of contents numbered,Lente"/>
    <w:basedOn w:val="Normal"/>
    <w:link w:val="ListParagraphChar"/>
    <w:uiPriority w:val="34"/>
    <w:qFormat/>
    <w:rsid w:val="00AE0EF3"/>
    <w:pPr>
      <w:spacing w:after="0" w:line="240" w:lineRule="auto"/>
      <w:ind w:left="720" w:firstLine="720"/>
      <w:contextualSpacing/>
    </w:pPr>
    <w:rPr>
      <w:rFonts w:ascii="Arial" w:eastAsia="Times New Roman" w:hAnsi="Arial" w:cs="Arial"/>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AE0EF3"/>
    <w:rPr>
      <w:rFonts w:ascii="Arial" w:eastAsia="Times New Roman" w:hAnsi="Arial" w:cs="Arial"/>
      <w:sz w:val="20"/>
      <w:szCs w:val="20"/>
      <w:lang w:eastAsia="lt-LT"/>
    </w:rPr>
  </w:style>
  <w:style w:type="paragraph" w:styleId="Header">
    <w:name w:val="header"/>
    <w:basedOn w:val="Normal"/>
    <w:link w:val="HeaderChar"/>
    <w:uiPriority w:val="99"/>
    <w:unhideWhenUsed/>
    <w:rsid w:val="00AE0EF3"/>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0EF3"/>
  </w:style>
  <w:style w:type="paragraph" w:styleId="Footer">
    <w:name w:val="footer"/>
    <w:basedOn w:val="Normal"/>
    <w:link w:val="FooterChar"/>
    <w:uiPriority w:val="99"/>
    <w:unhideWhenUsed/>
    <w:rsid w:val="00AE0EF3"/>
    <w:pPr>
      <w:tabs>
        <w:tab w:val="center" w:pos="4819"/>
        <w:tab w:val="right" w:pos="9638"/>
      </w:tabs>
      <w:spacing w:after="0" w:line="240" w:lineRule="auto"/>
    </w:pPr>
  </w:style>
  <w:style w:type="character" w:customStyle="1" w:styleId="FooterChar">
    <w:name w:val="Footer Char"/>
    <w:basedOn w:val="DefaultParagraphFont"/>
    <w:link w:val="Footer"/>
    <w:uiPriority w:val="99"/>
    <w:rsid w:val="00AE0EF3"/>
  </w:style>
  <w:style w:type="character" w:styleId="CommentReference">
    <w:name w:val="annotation reference"/>
    <w:basedOn w:val="DefaultParagraphFont"/>
    <w:uiPriority w:val="99"/>
    <w:semiHidden/>
    <w:unhideWhenUsed/>
    <w:rsid w:val="0063033A"/>
    <w:rPr>
      <w:sz w:val="16"/>
      <w:szCs w:val="16"/>
    </w:rPr>
  </w:style>
  <w:style w:type="paragraph" w:styleId="CommentText">
    <w:name w:val="annotation text"/>
    <w:basedOn w:val="Normal"/>
    <w:link w:val="CommentTextChar"/>
    <w:uiPriority w:val="99"/>
    <w:unhideWhenUsed/>
    <w:rsid w:val="0063033A"/>
    <w:pPr>
      <w:spacing w:line="240" w:lineRule="auto"/>
    </w:pPr>
    <w:rPr>
      <w:sz w:val="20"/>
      <w:szCs w:val="20"/>
    </w:rPr>
  </w:style>
  <w:style w:type="character" w:customStyle="1" w:styleId="CommentTextChar">
    <w:name w:val="Comment Text Char"/>
    <w:basedOn w:val="DefaultParagraphFont"/>
    <w:link w:val="CommentText"/>
    <w:uiPriority w:val="99"/>
    <w:rsid w:val="0063033A"/>
    <w:rPr>
      <w:sz w:val="20"/>
      <w:szCs w:val="20"/>
    </w:rPr>
  </w:style>
  <w:style w:type="paragraph" w:styleId="CommentSubject">
    <w:name w:val="annotation subject"/>
    <w:basedOn w:val="CommentText"/>
    <w:next w:val="CommentText"/>
    <w:link w:val="CommentSubjectChar"/>
    <w:uiPriority w:val="99"/>
    <w:semiHidden/>
    <w:unhideWhenUsed/>
    <w:rsid w:val="0063033A"/>
    <w:rPr>
      <w:b/>
      <w:bCs/>
    </w:rPr>
  </w:style>
  <w:style w:type="character" w:customStyle="1" w:styleId="CommentSubjectChar">
    <w:name w:val="Comment Subject Char"/>
    <w:basedOn w:val="CommentTextChar"/>
    <w:link w:val="CommentSubject"/>
    <w:uiPriority w:val="99"/>
    <w:semiHidden/>
    <w:rsid w:val="0063033A"/>
    <w:rPr>
      <w:b/>
      <w:bCs/>
      <w:sz w:val="20"/>
      <w:szCs w:val="20"/>
    </w:rPr>
  </w:style>
  <w:style w:type="paragraph" w:styleId="Revision">
    <w:name w:val="Revision"/>
    <w:hidden/>
    <w:uiPriority w:val="99"/>
    <w:semiHidden/>
    <w:rsid w:val="00142833"/>
    <w:pPr>
      <w:spacing w:after="0" w:line="240" w:lineRule="auto"/>
    </w:pPr>
  </w:style>
  <w:style w:type="character" w:customStyle="1" w:styleId="Laukeliai">
    <w:name w:val="Laukeliai"/>
    <w:basedOn w:val="DefaultParagraphFont"/>
    <w:uiPriority w:val="1"/>
    <w:rsid w:val="003D5C1E"/>
    <w:rPr>
      <w:rFonts w:ascii="Arial" w:hAnsi="Arial" w:cs="Arial" w:hint="default"/>
      <w:sz w:val="20"/>
    </w:rPr>
  </w:style>
  <w:style w:type="character" w:styleId="FootnoteReference">
    <w:name w:val="footnote reference"/>
    <w:basedOn w:val="DefaultParagraphFont"/>
    <w:uiPriority w:val="99"/>
    <w:unhideWhenUsed/>
    <w:rsid w:val="003D5C1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61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161</TotalTime>
  <Pages>2</Pages>
  <Words>4902</Words>
  <Characters>2795</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Vaišvydienė</dc:creator>
  <cp:keywords/>
  <dc:description/>
  <cp:lastModifiedBy>Renata Brusokienė</cp:lastModifiedBy>
  <cp:revision>19</cp:revision>
  <dcterms:created xsi:type="dcterms:W3CDTF">2022-08-19T08:59:00Z</dcterms:created>
  <dcterms:modified xsi:type="dcterms:W3CDTF">2026-02-02T07:26:00Z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Marija.Grusiene@ignitis.lt</vt:lpwstr>
  </property>
  <property fmtid="{D5CDD505-2E9C-101B-9397-08002B2CF9AE}" pid="5" name="MSIP_Label_320c693d-44b7-4e16-b3dd-4fcd87401cf5_SetDate">
    <vt:lpwstr>2021-09-07T12:51:38.7599277Z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a0c51f86-c2c6-4565-b81e-f9069974b86e</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2022-06-02T11:17:30Z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a0c51f86-c2c6-4565-b81e-f9069974b86e</vt:lpwstr>
  </property>
  <property fmtid="{D5CDD505-2E9C-101B-9397-08002B2CF9AE}" pid="16" name="MSIP_Label_190751af-2442-49a7-b7b9-9f0bcce858c9_ContentBits">
    <vt:lpwstr>0</vt:lpwstr>
  </property>
</Properties>
</file>